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E270A" w14:textId="77777777" w:rsidR="00385617" w:rsidRDefault="001D715F" w:rsidP="001D715F">
      <w:pPr>
        <w:rPr>
          <w:bCs/>
          <w:sz w:val="28"/>
          <w:szCs w:val="28"/>
        </w:rPr>
      </w:pPr>
      <w:bookmarkStart w:id="0" w:name="_GoBack"/>
      <w:bookmarkEnd w:id="0"/>
      <w:r>
        <w:rPr>
          <w:b/>
          <w:bCs/>
          <w:sz w:val="28"/>
          <w:szCs w:val="28"/>
        </w:rPr>
        <w:t xml:space="preserve">NDAA 2019 Required Representations Regarding </w:t>
      </w:r>
      <w:r w:rsidR="003471C6">
        <w:rPr>
          <w:b/>
          <w:bCs/>
          <w:sz w:val="28"/>
          <w:szCs w:val="28"/>
        </w:rPr>
        <w:t xml:space="preserve">Sale or Use of </w:t>
      </w:r>
      <w:r>
        <w:rPr>
          <w:b/>
          <w:bCs/>
          <w:sz w:val="28"/>
          <w:szCs w:val="28"/>
        </w:rPr>
        <w:t xml:space="preserve">Certain Telecommunications and Video Surveillance Services or Equipment </w:t>
      </w:r>
    </w:p>
    <w:p w14:paraId="227C659A" w14:textId="77777777" w:rsidR="001D715F" w:rsidRDefault="001D715F" w:rsidP="001D715F">
      <w:pPr>
        <w:rPr>
          <w:bCs/>
          <w:sz w:val="28"/>
          <w:szCs w:val="28"/>
        </w:rPr>
      </w:pPr>
    </w:p>
    <w:p w14:paraId="19529CEB" w14:textId="77777777" w:rsidR="001D715F" w:rsidRDefault="001D715F" w:rsidP="001D715F">
      <w:pPr>
        <w:rPr>
          <w:sz w:val="22"/>
        </w:rPr>
      </w:pPr>
      <w:r w:rsidRPr="001D715F">
        <w:rPr>
          <w:szCs w:val="24"/>
        </w:rPr>
        <w:t>The John S. McCain National Defense Authorization Act (NDAA) for Fiscal Year (FY) 2019 (Pub. L. 115-232), Sec 889 reference can be found at</w:t>
      </w:r>
      <w:r>
        <w:rPr>
          <w:sz w:val="22"/>
        </w:rPr>
        <w:t xml:space="preserve"> </w:t>
      </w:r>
      <w:hyperlink r:id="rId5" w:history="1">
        <w:r w:rsidRPr="00C467C2">
          <w:rPr>
            <w:rStyle w:val="Hyperlink"/>
            <w:sz w:val="22"/>
          </w:rPr>
          <w:t>https://www.congress.gov/115/bills/hr5515/BILLS-115hr5515enr.pdf</w:t>
        </w:r>
      </w:hyperlink>
      <w:r>
        <w:rPr>
          <w:sz w:val="22"/>
        </w:rPr>
        <w:t>.</w:t>
      </w:r>
    </w:p>
    <w:p w14:paraId="115A90EE" w14:textId="77777777" w:rsidR="001D715F" w:rsidRDefault="001D715F" w:rsidP="001D715F">
      <w:pPr>
        <w:rPr>
          <w:sz w:val="22"/>
        </w:rPr>
      </w:pPr>
    </w:p>
    <w:p w14:paraId="5A76BEB8" w14:textId="18884E60" w:rsidR="001D715F" w:rsidRDefault="001D715F" w:rsidP="001D715F">
      <w:pPr>
        <w:rPr>
          <w:szCs w:val="24"/>
        </w:rPr>
      </w:pPr>
      <w:r w:rsidRPr="001D715F">
        <w:rPr>
          <w:szCs w:val="24"/>
        </w:rPr>
        <w:t xml:space="preserve">If the </w:t>
      </w:r>
      <w:r w:rsidR="00057C00">
        <w:rPr>
          <w:szCs w:val="24"/>
        </w:rPr>
        <w:t>Vendor</w:t>
      </w:r>
      <w:r w:rsidR="00057C00" w:rsidRPr="001D715F">
        <w:rPr>
          <w:szCs w:val="24"/>
        </w:rPr>
        <w:t xml:space="preserve"> </w:t>
      </w:r>
      <w:r w:rsidRPr="001D715F">
        <w:rPr>
          <w:szCs w:val="24"/>
        </w:rPr>
        <w:t xml:space="preserve">(the term </w:t>
      </w:r>
      <w:r w:rsidR="00057C00">
        <w:rPr>
          <w:szCs w:val="24"/>
        </w:rPr>
        <w:t>Vendor</w:t>
      </w:r>
      <w:r w:rsidR="00057C00" w:rsidRPr="001D715F">
        <w:rPr>
          <w:szCs w:val="24"/>
        </w:rPr>
        <w:t xml:space="preserve"> </w:t>
      </w:r>
      <w:r w:rsidRPr="001D715F">
        <w:rPr>
          <w:szCs w:val="24"/>
        </w:rPr>
        <w:t xml:space="preserve">hereinafter includes </w:t>
      </w:r>
      <w:r w:rsidR="003471C6">
        <w:rPr>
          <w:szCs w:val="24"/>
        </w:rPr>
        <w:t>Trading Partner</w:t>
      </w:r>
      <w:r w:rsidR="00057C00">
        <w:rPr>
          <w:szCs w:val="24"/>
        </w:rPr>
        <w:t xml:space="preserve"> </w:t>
      </w:r>
      <w:r w:rsidRPr="001D715F">
        <w:rPr>
          <w:szCs w:val="24"/>
        </w:rPr>
        <w:t xml:space="preserve">or Contractor) has provided a response to Part A and/or Part B </w:t>
      </w:r>
      <w:r w:rsidR="003471C6">
        <w:rPr>
          <w:szCs w:val="24"/>
        </w:rPr>
        <w:t xml:space="preserve">below </w:t>
      </w:r>
      <w:r w:rsidRPr="001D715F">
        <w:rPr>
          <w:szCs w:val="24"/>
        </w:rPr>
        <w:t>with a current, government-wide representation at www.SAM.gov</w:t>
      </w:r>
      <w:r w:rsidR="003471C6">
        <w:rPr>
          <w:szCs w:val="24"/>
        </w:rPr>
        <w:t>,</w:t>
      </w:r>
      <w:r w:rsidRPr="001D715F">
        <w:rPr>
          <w:szCs w:val="24"/>
        </w:rPr>
        <w:t xml:space="preserve"> the </w:t>
      </w:r>
      <w:r w:rsidR="00057C00">
        <w:rPr>
          <w:szCs w:val="24"/>
        </w:rPr>
        <w:t>Vendor</w:t>
      </w:r>
      <w:r w:rsidR="00057C00" w:rsidRPr="001D715F">
        <w:rPr>
          <w:szCs w:val="24"/>
        </w:rPr>
        <w:t xml:space="preserve"> </w:t>
      </w:r>
      <w:r w:rsidRPr="001D715F">
        <w:rPr>
          <w:szCs w:val="24"/>
        </w:rPr>
        <w:t>still needs to complete the corresponding part(s) below and sign and return the form and notify the Contracting Officer</w:t>
      </w:r>
      <w:r w:rsidR="00D46FF8">
        <w:rPr>
          <w:szCs w:val="24"/>
        </w:rPr>
        <w:t>/Buyer</w:t>
      </w:r>
      <w:r w:rsidRPr="001D715F">
        <w:rPr>
          <w:szCs w:val="24"/>
        </w:rPr>
        <w:t xml:space="preserve"> of said representation in SAM.gov.</w:t>
      </w:r>
    </w:p>
    <w:p w14:paraId="187F84E5" w14:textId="77777777" w:rsidR="001D715F" w:rsidRDefault="001D715F" w:rsidP="001D715F">
      <w:pPr>
        <w:rPr>
          <w:szCs w:val="24"/>
        </w:rPr>
      </w:pPr>
    </w:p>
    <w:p w14:paraId="0A2B3B24" w14:textId="68752672" w:rsidR="002D1B4E" w:rsidRDefault="001D715F" w:rsidP="001D715F">
      <w:pPr>
        <w:pStyle w:val="Default"/>
        <w:rPr>
          <w:b/>
          <w:bCs/>
        </w:rPr>
      </w:pPr>
      <w:r w:rsidRPr="001D715F">
        <w:rPr>
          <w:b/>
          <w:bCs/>
        </w:rPr>
        <w:t xml:space="preserve">REPRESENTATION OF </w:t>
      </w:r>
      <w:r w:rsidR="00057C00">
        <w:rPr>
          <w:b/>
          <w:bCs/>
        </w:rPr>
        <w:t>VENDOR</w:t>
      </w:r>
    </w:p>
    <w:p w14:paraId="311AA046" w14:textId="7150C44B" w:rsidR="00F41E26" w:rsidRPr="00F41E26" w:rsidRDefault="00F41E26" w:rsidP="001D715F">
      <w:pPr>
        <w:pStyle w:val="Default"/>
        <w:rPr>
          <w:bCs/>
        </w:rPr>
      </w:pPr>
      <w:r w:rsidRPr="00F41E26">
        <w:rPr>
          <w:bCs/>
        </w:rPr>
        <w:t xml:space="preserve">(Definitions for terms </w:t>
      </w:r>
      <w:r w:rsidR="00C22955">
        <w:rPr>
          <w:bCs/>
        </w:rPr>
        <w:t xml:space="preserve">are in section </w:t>
      </w:r>
      <w:r w:rsidR="00EC30BC">
        <w:rPr>
          <w:bCs/>
        </w:rPr>
        <w:t>e</w:t>
      </w:r>
      <w:r w:rsidR="00C22955">
        <w:rPr>
          <w:bCs/>
        </w:rPr>
        <w:t xml:space="preserve">) </w:t>
      </w:r>
      <w:r w:rsidRPr="00F41E26">
        <w:rPr>
          <w:bCs/>
        </w:rPr>
        <w:t>below.)</w:t>
      </w:r>
    </w:p>
    <w:p w14:paraId="6F19F5D1" w14:textId="208533A2" w:rsidR="001D715F" w:rsidRPr="001D715F" w:rsidRDefault="001D715F" w:rsidP="001D715F">
      <w:pPr>
        <w:pStyle w:val="Default"/>
      </w:pPr>
      <w:r w:rsidRPr="001D715F">
        <w:rPr>
          <w:b/>
          <w:bCs/>
        </w:rPr>
        <w:t xml:space="preserve"> </w:t>
      </w:r>
    </w:p>
    <w:p w14:paraId="51F84EB5" w14:textId="42876C21" w:rsidR="001D715F" w:rsidRPr="001D715F" w:rsidRDefault="001D715F" w:rsidP="001D715F">
      <w:pPr>
        <w:rPr>
          <w:szCs w:val="24"/>
        </w:rPr>
      </w:pPr>
      <w:r w:rsidRPr="001D715F">
        <w:rPr>
          <w:szCs w:val="24"/>
        </w:rPr>
        <w:t xml:space="preserve">I, _________________________________, (Name of person making representation) have reviewed the NDAA for FY 2019, Section 889. </w:t>
      </w:r>
      <w:r w:rsidR="002D1B4E">
        <w:rPr>
          <w:szCs w:val="24"/>
        </w:rPr>
        <w:t xml:space="preserve"> </w:t>
      </w:r>
      <w:r w:rsidRPr="001D715F">
        <w:rPr>
          <w:szCs w:val="24"/>
        </w:rPr>
        <w:t xml:space="preserve">I have the authority to make the required representations on behalf of the </w:t>
      </w:r>
      <w:r w:rsidR="00057C00">
        <w:rPr>
          <w:szCs w:val="24"/>
        </w:rPr>
        <w:t>Vendor</w:t>
      </w:r>
      <w:r w:rsidRPr="001D715F">
        <w:rPr>
          <w:szCs w:val="24"/>
        </w:rPr>
        <w:t>.</w:t>
      </w:r>
    </w:p>
    <w:p w14:paraId="3DF0524A" w14:textId="77777777" w:rsidR="001D715F" w:rsidRPr="001D715F" w:rsidRDefault="001D715F" w:rsidP="001D715F">
      <w:pPr>
        <w:rPr>
          <w:szCs w:val="24"/>
        </w:rPr>
      </w:pPr>
    </w:p>
    <w:p w14:paraId="4791C73C" w14:textId="604C03A1" w:rsidR="001D715F" w:rsidRDefault="001D715F" w:rsidP="001D715F">
      <w:pPr>
        <w:pStyle w:val="Default"/>
      </w:pPr>
      <w:r w:rsidRPr="001D715F">
        <w:rPr>
          <w:b/>
          <w:bCs/>
        </w:rPr>
        <w:t xml:space="preserve">a) </w:t>
      </w:r>
      <w:r w:rsidRPr="001D715F">
        <w:rPr>
          <w:i/>
          <w:iCs/>
        </w:rPr>
        <w:t>2019 NDAA, Section 889(a</w:t>
      </w:r>
      <w:proofErr w:type="gramStart"/>
      <w:r w:rsidRPr="001D715F">
        <w:rPr>
          <w:i/>
          <w:iCs/>
        </w:rPr>
        <w:t>)(</w:t>
      </w:r>
      <w:proofErr w:type="gramEnd"/>
      <w:r w:rsidRPr="001D715F">
        <w:rPr>
          <w:i/>
          <w:iCs/>
        </w:rPr>
        <w:t xml:space="preserve">1)(A) - </w:t>
      </w:r>
      <w:r w:rsidRPr="00536BA3">
        <w:rPr>
          <w:i/>
          <w:iCs/>
          <w:highlight w:val="yellow"/>
        </w:rPr>
        <w:t>Representation Part A</w:t>
      </w:r>
      <w:r w:rsidRPr="001D715F">
        <w:rPr>
          <w:i/>
          <w:iCs/>
        </w:rPr>
        <w:t xml:space="preserve"> </w:t>
      </w:r>
      <w:r w:rsidRPr="001D715F">
        <w:t xml:space="preserve">– The </w:t>
      </w:r>
      <w:r w:rsidR="00057C00">
        <w:t>Vendor</w:t>
      </w:r>
      <w:r w:rsidR="00057C00" w:rsidRPr="001D715F">
        <w:t xml:space="preserve"> </w:t>
      </w:r>
      <w:r w:rsidRPr="001D715F">
        <w:t xml:space="preserve">represents that it: </w:t>
      </w:r>
    </w:p>
    <w:p w14:paraId="3E952748" w14:textId="77777777" w:rsidR="003471C6" w:rsidRPr="001D715F" w:rsidRDefault="003471C6" w:rsidP="001D715F">
      <w:pPr>
        <w:pStyle w:val="Default"/>
      </w:pPr>
    </w:p>
    <w:p w14:paraId="7B10D0DD" w14:textId="77777777" w:rsidR="001D715F" w:rsidRPr="001D715F" w:rsidRDefault="001D715F" w:rsidP="003471C6">
      <w:pPr>
        <w:pStyle w:val="Default"/>
        <w:ind w:left="720"/>
      </w:pPr>
      <w:r w:rsidRPr="001D715F">
        <w:rPr>
          <w:rFonts w:ascii="Segoe UI Symbol" w:hAnsi="Segoe UI Symbol" w:cs="Segoe UI Symbol"/>
        </w:rPr>
        <w:t>☐</w:t>
      </w:r>
      <w:r w:rsidRPr="001D715F">
        <w:t xml:space="preserve"> will </w:t>
      </w:r>
    </w:p>
    <w:p w14:paraId="4F29BB13" w14:textId="77777777" w:rsidR="001D715F" w:rsidRDefault="001D715F" w:rsidP="003471C6">
      <w:pPr>
        <w:pStyle w:val="Default"/>
        <w:ind w:left="720"/>
      </w:pPr>
      <w:r w:rsidRPr="001D715F">
        <w:rPr>
          <w:rFonts w:ascii="Segoe UI Symbol" w:hAnsi="Segoe UI Symbol" w:cs="Segoe UI Symbol"/>
        </w:rPr>
        <w:t>☐</w:t>
      </w:r>
      <w:r w:rsidRPr="001D715F">
        <w:t xml:space="preserve"> will not </w:t>
      </w:r>
    </w:p>
    <w:p w14:paraId="0EFAAD6F" w14:textId="77777777" w:rsidR="003471C6" w:rsidRPr="001D715F" w:rsidRDefault="003471C6" w:rsidP="001D715F">
      <w:pPr>
        <w:pStyle w:val="Default"/>
      </w:pPr>
    </w:p>
    <w:p w14:paraId="41DC3385" w14:textId="26DDE21D" w:rsidR="001D715F" w:rsidRDefault="001D715F" w:rsidP="001D715F">
      <w:pPr>
        <w:pStyle w:val="Default"/>
      </w:pPr>
      <w:proofErr w:type="gramStart"/>
      <w:r w:rsidRPr="001D715F">
        <w:t>provide</w:t>
      </w:r>
      <w:proofErr w:type="gramEnd"/>
      <w:r w:rsidRPr="001D715F">
        <w:t xml:space="preserve"> </w:t>
      </w:r>
      <w:r w:rsidR="00F41E26">
        <w:t xml:space="preserve">or sell </w:t>
      </w:r>
      <w:r w:rsidRPr="001D715F">
        <w:t xml:space="preserve">covered telecommunications and video surveillance equipment or services to the Government in the performance of any </w:t>
      </w:r>
      <w:r w:rsidR="00F41E26">
        <w:t xml:space="preserve">Trading Partner Agreement, </w:t>
      </w:r>
      <w:r w:rsidRPr="001D715F">
        <w:t xml:space="preserve">contract, subcontract or other contractual instrument. The </w:t>
      </w:r>
      <w:r w:rsidR="00057C00">
        <w:t>Vendor</w:t>
      </w:r>
      <w:r w:rsidR="00057C00" w:rsidRPr="001D715F">
        <w:t xml:space="preserve"> </w:t>
      </w:r>
      <w:r w:rsidR="00F41E26">
        <w:t>must</w:t>
      </w:r>
      <w:r w:rsidR="00F41E26" w:rsidRPr="001D715F">
        <w:t xml:space="preserve"> </w:t>
      </w:r>
      <w:r w:rsidRPr="001D715F">
        <w:t xml:space="preserve">provide the additional disclosure information required at paragraph c) of this section </w:t>
      </w:r>
      <w:r w:rsidR="00365410">
        <w:t>to the Contracting Officer</w:t>
      </w:r>
      <w:r w:rsidR="00D46FF8">
        <w:t>/Buyer</w:t>
      </w:r>
      <w:r w:rsidR="00365410">
        <w:t xml:space="preserve"> </w:t>
      </w:r>
      <w:r w:rsidRPr="001D715F">
        <w:t xml:space="preserve">if the </w:t>
      </w:r>
      <w:r w:rsidR="00057C00">
        <w:t>Vendor</w:t>
      </w:r>
      <w:r w:rsidR="00057C00" w:rsidRPr="001D715F">
        <w:t xml:space="preserve"> </w:t>
      </w:r>
      <w:r w:rsidRPr="001D715F">
        <w:t xml:space="preserve">responds “will” above; and </w:t>
      </w:r>
    </w:p>
    <w:p w14:paraId="37B157FF" w14:textId="77777777" w:rsidR="003471C6" w:rsidRPr="001D715F" w:rsidRDefault="003471C6" w:rsidP="001D715F">
      <w:pPr>
        <w:pStyle w:val="Default"/>
      </w:pPr>
    </w:p>
    <w:p w14:paraId="2989B3F2" w14:textId="29384183" w:rsidR="001D715F" w:rsidRDefault="001D715F" w:rsidP="001D715F">
      <w:pPr>
        <w:pStyle w:val="Default"/>
      </w:pPr>
      <w:r w:rsidRPr="001D715F">
        <w:rPr>
          <w:b/>
          <w:bCs/>
        </w:rPr>
        <w:t xml:space="preserve">b) </w:t>
      </w:r>
      <w:r w:rsidRPr="001D715F">
        <w:rPr>
          <w:i/>
          <w:iCs/>
        </w:rPr>
        <w:t xml:space="preserve">2019 NDAA, Section 889(a)(1)(B) - </w:t>
      </w:r>
      <w:r w:rsidRPr="00185250">
        <w:rPr>
          <w:i/>
          <w:iCs/>
          <w:highlight w:val="yellow"/>
        </w:rPr>
        <w:t>Representation Part B</w:t>
      </w:r>
      <w:r w:rsidRPr="001D715F">
        <w:rPr>
          <w:i/>
          <w:iCs/>
        </w:rPr>
        <w:t xml:space="preserve"> </w:t>
      </w:r>
      <w:r w:rsidRPr="001D715F">
        <w:t xml:space="preserve">– After conducting a reasonable inquiry, for purposes of this representation, the </w:t>
      </w:r>
      <w:r w:rsidR="00057C00">
        <w:t>Vendor</w:t>
      </w:r>
      <w:r w:rsidR="00057C00" w:rsidRPr="001D715F">
        <w:t xml:space="preserve"> </w:t>
      </w:r>
      <w:r w:rsidRPr="001D715F">
        <w:t xml:space="preserve">represents that it: </w:t>
      </w:r>
    </w:p>
    <w:p w14:paraId="22C90A61" w14:textId="77777777" w:rsidR="003471C6" w:rsidRPr="001D715F" w:rsidRDefault="003471C6" w:rsidP="001D715F">
      <w:pPr>
        <w:pStyle w:val="Default"/>
      </w:pPr>
    </w:p>
    <w:p w14:paraId="159FFF50" w14:textId="77777777" w:rsidR="001D715F" w:rsidRPr="001D715F" w:rsidRDefault="001D715F" w:rsidP="003471C6">
      <w:pPr>
        <w:pStyle w:val="Default"/>
        <w:ind w:left="720"/>
      </w:pPr>
      <w:r w:rsidRPr="001D715F">
        <w:rPr>
          <w:rFonts w:ascii="Segoe UI Symbol" w:hAnsi="Segoe UI Symbol" w:cs="Segoe UI Symbol"/>
        </w:rPr>
        <w:t>☐</w:t>
      </w:r>
      <w:r w:rsidRPr="001D715F">
        <w:t xml:space="preserve"> does </w:t>
      </w:r>
    </w:p>
    <w:p w14:paraId="36124BE6" w14:textId="77777777" w:rsidR="001D715F" w:rsidRPr="001D715F" w:rsidRDefault="001D715F" w:rsidP="003471C6">
      <w:pPr>
        <w:ind w:left="720"/>
        <w:rPr>
          <w:szCs w:val="24"/>
        </w:rPr>
      </w:pPr>
      <w:r w:rsidRPr="001D715F">
        <w:rPr>
          <w:rFonts w:ascii="Segoe UI Symbol" w:hAnsi="Segoe UI Symbol" w:cs="Segoe UI Symbol"/>
          <w:szCs w:val="24"/>
        </w:rPr>
        <w:t>☐</w:t>
      </w:r>
      <w:r w:rsidRPr="001D715F">
        <w:rPr>
          <w:szCs w:val="24"/>
        </w:rPr>
        <w:t xml:space="preserve"> does not</w:t>
      </w:r>
    </w:p>
    <w:p w14:paraId="76F673FE" w14:textId="77777777" w:rsidR="001D715F" w:rsidRPr="001D715F" w:rsidRDefault="001D715F" w:rsidP="001D715F">
      <w:pPr>
        <w:rPr>
          <w:szCs w:val="24"/>
        </w:rPr>
      </w:pPr>
    </w:p>
    <w:p w14:paraId="67CCD560" w14:textId="25E54473" w:rsidR="003471C6" w:rsidRDefault="001D715F" w:rsidP="001D715F">
      <w:pPr>
        <w:pStyle w:val="Default"/>
      </w:pPr>
      <w:proofErr w:type="gramStart"/>
      <w:r w:rsidRPr="001D715F">
        <w:t>use</w:t>
      </w:r>
      <w:proofErr w:type="gramEnd"/>
      <w:r w:rsidRPr="001D715F">
        <w:t xml:space="preserve"> covered telecommunications and video surveillance equipment or services, or use any equipment, system, or service that uses covered telecommunications equipment or services. The </w:t>
      </w:r>
      <w:r w:rsidR="00057C00">
        <w:t>Vendor</w:t>
      </w:r>
      <w:r w:rsidR="00057C00" w:rsidRPr="001D715F">
        <w:t xml:space="preserve"> </w:t>
      </w:r>
      <w:r w:rsidR="00F41E26">
        <w:t>must</w:t>
      </w:r>
      <w:r w:rsidR="00F41E26" w:rsidRPr="001D715F">
        <w:t xml:space="preserve"> </w:t>
      </w:r>
      <w:r w:rsidRPr="001D715F">
        <w:t xml:space="preserve">provide the additional disclosure information required at paragraph c) of this section </w:t>
      </w:r>
      <w:r w:rsidR="004A7A3F">
        <w:t>to the</w:t>
      </w:r>
      <w:r w:rsidR="00D46FF8" w:rsidDel="00D46FF8">
        <w:t xml:space="preserve"> </w:t>
      </w:r>
      <w:r w:rsidR="004A7A3F">
        <w:t>Contracting Officer</w:t>
      </w:r>
      <w:r w:rsidR="00D46FF8">
        <w:t xml:space="preserve">/Buyer </w:t>
      </w:r>
      <w:r w:rsidRPr="001D715F">
        <w:t xml:space="preserve">if the </w:t>
      </w:r>
      <w:r w:rsidR="00057C00">
        <w:t>Vendor</w:t>
      </w:r>
      <w:r w:rsidR="00057C00" w:rsidRPr="001D715F">
        <w:t xml:space="preserve"> </w:t>
      </w:r>
      <w:r w:rsidRPr="001D715F">
        <w:t>responds “does” above.</w:t>
      </w:r>
    </w:p>
    <w:p w14:paraId="3822B8B0" w14:textId="77777777" w:rsidR="001D715F" w:rsidRPr="001D715F" w:rsidRDefault="001D715F" w:rsidP="001D715F">
      <w:pPr>
        <w:pStyle w:val="Default"/>
      </w:pPr>
      <w:r w:rsidRPr="001D715F">
        <w:t xml:space="preserve"> </w:t>
      </w:r>
    </w:p>
    <w:p w14:paraId="27141899" w14:textId="3D4DD16C" w:rsidR="001D715F" w:rsidRPr="001D715F" w:rsidRDefault="001D715F" w:rsidP="001D715F">
      <w:pPr>
        <w:rPr>
          <w:szCs w:val="24"/>
        </w:rPr>
      </w:pPr>
      <w:r w:rsidRPr="001D715F">
        <w:rPr>
          <w:b/>
          <w:bCs/>
          <w:szCs w:val="24"/>
        </w:rPr>
        <w:t xml:space="preserve">c) </w:t>
      </w:r>
      <w:r w:rsidRPr="001D715F">
        <w:rPr>
          <w:i/>
          <w:iCs/>
          <w:szCs w:val="24"/>
        </w:rPr>
        <w:t>Disclosures</w:t>
      </w:r>
      <w:r w:rsidRPr="001D715F">
        <w:rPr>
          <w:szCs w:val="24"/>
        </w:rPr>
        <w:t xml:space="preserve">. If the </w:t>
      </w:r>
      <w:r w:rsidR="00057C00">
        <w:rPr>
          <w:szCs w:val="24"/>
        </w:rPr>
        <w:t>Vendo</w:t>
      </w:r>
      <w:r w:rsidR="00057C00" w:rsidRPr="001D715F">
        <w:rPr>
          <w:szCs w:val="24"/>
        </w:rPr>
        <w:t xml:space="preserve">r </w:t>
      </w:r>
      <w:r w:rsidRPr="001D715F">
        <w:rPr>
          <w:szCs w:val="24"/>
        </w:rPr>
        <w:t xml:space="preserve">responds </w:t>
      </w:r>
      <w:r w:rsidR="00F41E26">
        <w:rPr>
          <w:szCs w:val="24"/>
        </w:rPr>
        <w:t>“will provide or sell” in</w:t>
      </w:r>
      <w:r w:rsidRPr="001D715F">
        <w:rPr>
          <w:szCs w:val="24"/>
        </w:rPr>
        <w:t xml:space="preserve"> the representation </w:t>
      </w:r>
      <w:r w:rsidR="00F41E26">
        <w:rPr>
          <w:szCs w:val="24"/>
        </w:rPr>
        <w:t>in paragraph a) of this provision</w:t>
      </w:r>
      <w:r w:rsidRPr="001D715F">
        <w:rPr>
          <w:szCs w:val="24"/>
        </w:rPr>
        <w:t xml:space="preserve">, the </w:t>
      </w:r>
      <w:r w:rsidR="00057C00">
        <w:rPr>
          <w:szCs w:val="24"/>
        </w:rPr>
        <w:t>Vendor</w:t>
      </w:r>
      <w:r w:rsidR="00057C00" w:rsidRPr="001D715F">
        <w:rPr>
          <w:szCs w:val="24"/>
        </w:rPr>
        <w:t xml:space="preserve"> </w:t>
      </w:r>
      <w:r w:rsidR="00F41E26">
        <w:rPr>
          <w:szCs w:val="24"/>
        </w:rPr>
        <w:t>must</w:t>
      </w:r>
      <w:r w:rsidR="00F41E26" w:rsidRPr="001D715F">
        <w:rPr>
          <w:szCs w:val="24"/>
        </w:rPr>
        <w:t xml:space="preserve"> </w:t>
      </w:r>
      <w:r w:rsidRPr="001D715F">
        <w:rPr>
          <w:szCs w:val="24"/>
        </w:rPr>
        <w:t xml:space="preserve">provide a description of all covered telecommunications and video surveillance services or equipment offered </w:t>
      </w:r>
      <w:r w:rsidR="00365410">
        <w:rPr>
          <w:szCs w:val="24"/>
        </w:rPr>
        <w:t>to the Contracting Officer</w:t>
      </w:r>
      <w:r w:rsidR="00D46FF8">
        <w:rPr>
          <w:szCs w:val="24"/>
        </w:rPr>
        <w:t>/Buyer</w:t>
      </w:r>
      <w:r w:rsidR="00365410">
        <w:rPr>
          <w:szCs w:val="24"/>
        </w:rPr>
        <w:t xml:space="preserve"> </w:t>
      </w:r>
      <w:r w:rsidRPr="001D715F">
        <w:rPr>
          <w:szCs w:val="24"/>
        </w:rPr>
        <w:t xml:space="preserve">and explanation of the proposed use of covered telecommunications services or equipment and any factors relevant to determining if such use would be permissible under the prohibition. If the </w:t>
      </w:r>
      <w:r w:rsidR="00057C00">
        <w:rPr>
          <w:szCs w:val="24"/>
        </w:rPr>
        <w:t>Vendor</w:t>
      </w:r>
      <w:r w:rsidR="00057C00" w:rsidRPr="001D715F">
        <w:rPr>
          <w:szCs w:val="24"/>
        </w:rPr>
        <w:t xml:space="preserve"> </w:t>
      </w:r>
      <w:r w:rsidRPr="001D715F">
        <w:rPr>
          <w:szCs w:val="24"/>
        </w:rPr>
        <w:t xml:space="preserve">has responded “does” in the representation in paragraph </w:t>
      </w:r>
      <w:r w:rsidR="00F41E26">
        <w:rPr>
          <w:szCs w:val="24"/>
        </w:rPr>
        <w:t>b</w:t>
      </w:r>
      <w:r w:rsidRPr="001D715F">
        <w:rPr>
          <w:szCs w:val="24"/>
        </w:rPr>
        <w:t xml:space="preserve">) of this provision, the </w:t>
      </w:r>
      <w:r w:rsidR="00057C00">
        <w:rPr>
          <w:szCs w:val="24"/>
        </w:rPr>
        <w:t>Vendor</w:t>
      </w:r>
      <w:r w:rsidR="00057C00" w:rsidRPr="001D715F">
        <w:rPr>
          <w:szCs w:val="24"/>
        </w:rPr>
        <w:t xml:space="preserve"> </w:t>
      </w:r>
      <w:r w:rsidR="00F41E26">
        <w:rPr>
          <w:szCs w:val="24"/>
        </w:rPr>
        <w:t>must</w:t>
      </w:r>
      <w:r w:rsidR="00F41E26" w:rsidRPr="001D715F">
        <w:rPr>
          <w:szCs w:val="24"/>
        </w:rPr>
        <w:t xml:space="preserve"> </w:t>
      </w:r>
      <w:r w:rsidRPr="001D715F">
        <w:rPr>
          <w:szCs w:val="24"/>
        </w:rPr>
        <w:t xml:space="preserve">provide a description of all covered telecommunications and video surveillance equipment or services used </w:t>
      </w:r>
      <w:r w:rsidR="00365410">
        <w:rPr>
          <w:szCs w:val="24"/>
        </w:rPr>
        <w:t>to the Contracting Officer</w:t>
      </w:r>
      <w:r w:rsidR="00D46FF8">
        <w:rPr>
          <w:szCs w:val="24"/>
        </w:rPr>
        <w:t>/Buyer</w:t>
      </w:r>
      <w:r w:rsidR="00365410">
        <w:rPr>
          <w:szCs w:val="24"/>
        </w:rPr>
        <w:t xml:space="preserve"> </w:t>
      </w:r>
      <w:r w:rsidRPr="001D715F">
        <w:rPr>
          <w:szCs w:val="24"/>
        </w:rPr>
        <w:t>and explanation of the proposed use of covered telecommunications equipment and any factors relevant to determining if such use would be permissible under the prohibition.</w:t>
      </w:r>
    </w:p>
    <w:p w14:paraId="49006532" w14:textId="77777777" w:rsidR="001D715F" w:rsidRPr="001D715F" w:rsidRDefault="001D715F" w:rsidP="001D715F">
      <w:pPr>
        <w:rPr>
          <w:szCs w:val="24"/>
        </w:rPr>
      </w:pPr>
    </w:p>
    <w:p w14:paraId="2F37112C" w14:textId="7628DF19" w:rsidR="001D715F" w:rsidRPr="001D715F" w:rsidRDefault="001D715F" w:rsidP="001D715F">
      <w:pPr>
        <w:rPr>
          <w:b/>
          <w:bCs/>
          <w:szCs w:val="24"/>
        </w:rPr>
      </w:pPr>
      <w:r w:rsidRPr="001D715F">
        <w:rPr>
          <w:b/>
          <w:bCs/>
          <w:szCs w:val="24"/>
        </w:rPr>
        <w:t xml:space="preserve">d) </w:t>
      </w:r>
      <w:r w:rsidRPr="001D715F">
        <w:rPr>
          <w:b/>
          <w:bCs/>
          <w:i/>
          <w:iCs/>
          <w:szCs w:val="24"/>
        </w:rPr>
        <w:t>Reporting Requirement</w:t>
      </w:r>
      <w:r w:rsidRPr="001D715F">
        <w:rPr>
          <w:b/>
          <w:bCs/>
          <w:szCs w:val="24"/>
        </w:rPr>
        <w:t xml:space="preserve">. In the event the </w:t>
      </w:r>
      <w:r w:rsidR="00057C00">
        <w:rPr>
          <w:b/>
          <w:bCs/>
          <w:szCs w:val="24"/>
        </w:rPr>
        <w:t>Vendor</w:t>
      </w:r>
      <w:r w:rsidRPr="001D715F">
        <w:rPr>
          <w:b/>
          <w:bCs/>
          <w:szCs w:val="24"/>
        </w:rPr>
        <w:t xml:space="preserve"> identifies covered telecommunications and video surveillance equipment or services used or to be </w:t>
      </w:r>
      <w:r w:rsidR="007F340A">
        <w:rPr>
          <w:b/>
          <w:bCs/>
          <w:szCs w:val="24"/>
        </w:rPr>
        <w:t xml:space="preserve">sold or </w:t>
      </w:r>
      <w:r w:rsidRPr="001D715F">
        <w:rPr>
          <w:b/>
          <w:bCs/>
          <w:szCs w:val="24"/>
        </w:rPr>
        <w:t xml:space="preserve">provided to the Government as a substantial or essential component of any system, or as critical technology as part of any system, during contract </w:t>
      </w:r>
      <w:r w:rsidRPr="001D715F">
        <w:rPr>
          <w:b/>
          <w:bCs/>
          <w:szCs w:val="24"/>
        </w:rPr>
        <w:lastRenderedPageBreak/>
        <w:t xml:space="preserve">performance, or the </w:t>
      </w:r>
      <w:r w:rsidR="00057C00">
        <w:rPr>
          <w:b/>
          <w:bCs/>
          <w:szCs w:val="24"/>
        </w:rPr>
        <w:t>Vendor</w:t>
      </w:r>
      <w:r w:rsidRPr="001D715F">
        <w:rPr>
          <w:b/>
          <w:bCs/>
          <w:szCs w:val="24"/>
        </w:rPr>
        <w:t xml:space="preserve"> is notified of such by a subcontractor at any tier or by any other source, the </w:t>
      </w:r>
      <w:r w:rsidR="00057C00">
        <w:rPr>
          <w:b/>
          <w:bCs/>
          <w:szCs w:val="24"/>
        </w:rPr>
        <w:t>Vendor</w:t>
      </w:r>
      <w:r w:rsidRPr="001D715F">
        <w:rPr>
          <w:b/>
          <w:bCs/>
          <w:szCs w:val="24"/>
        </w:rPr>
        <w:t xml:space="preserve"> </w:t>
      </w:r>
      <w:r w:rsidR="007F340A">
        <w:rPr>
          <w:b/>
          <w:bCs/>
          <w:szCs w:val="24"/>
        </w:rPr>
        <w:t>must</w:t>
      </w:r>
      <w:r w:rsidR="007F340A" w:rsidRPr="001D715F">
        <w:rPr>
          <w:b/>
          <w:bCs/>
          <w:szCs w:val="24"/>
        </w:rPr>
        <w:t xml:space="preserve"> </w:t>
      </w:r>
      <w:r w:rsidRPr="001D715F">
        <w:rPr>
          <w:b/>
          <w:bCs/>
          <w:szCs w:val="24"/>
        </w:rPr>
        <w:t>report the following information to the Contracting Officer</w:t>
      </w:r>
      <w:r w:rsidR="00E77EF2">
        <w:rPr>
          <w:b/>
          <w:bCs/>
          <w:szCs w:val="24"/>
        </w:rPr>
        <w:t>/Buyer</w:t>
      </w:r>
      <w:r w:rsidRPr="001D715F">
        <w:rPr>
          <w:b/>
          <w:bCs/>
          <w:szCs w:val="24"/>
        </w:rPr>
        <w:t>:</w:t>
      </w:r>
    </w:p>
    <w:p w14:paraId="6E9A8EF0" w14:textId="77777777" w:rsidR="001D715F" w:rsidRPr="001D715F" w:rsidRDefault="001D715F" w:rsidP="001D715F">
      <w:pPr>
        <w:rPr>
          <w:b/>
          <w:bCs/>
          <w:szCs w:val="24"/>
        </w:rPr>
      </w:pPr>
    </w:p>
    <w:p w14:paraId="3A6A71BE" w14:textId="77777777" w:rsidR="001D715F" w:rsidRPr="001D715F" w:rsidRDefault="001D715F" w:rsidP="003471C6">
      <w:pPr>
        <w:pStyle w:val="Default"/>
        <w:ind w:firstLine="360"/>
      </w:pPr>
      <w:r w:rsidRPr="001D715F">
        <w:t>1.</w:t>
      </w:r>
      <w:r w:rsidR="003471C6">
        <w:t xml:space="preserve"> </w:t>
      </w:r>
      <w:r w:rsidRPr="001D715F">
        <w:t>Within one business day from the date of such identification or notification: the contract number; the</w:t>
      </w:r>
      <w:r>
        <w:t xml:space="preserve"> </w:t>
      </w:r>
      <w:r w:rsidRPr="001D715F">
        <w:t>order number(s), if applicable; supplier name; supplier unique entity identifier (if known); brand; model</w:t>
      </w:r>
      <w:r>
        <w:t xml:space="preserve"> </w:t>
      </w:r>
      <w:r w:rsidRPr="001D715F">
        <w:t>number (original equipment manufacturer number, manufacturer part number, or wholesaler number);item description; and any readily available information about mitigation actions undertaken or</w:t>
      </w:r>
      <w:r>
        <w:t xml:space="preserve"> </w:t>
      </w:r>
      <w:r w:rsidRPr="001D715F">
        <w:t>recommended.</w:t>
      </w:r>
    </w:p>
    <w:p w14:paraId="209A56E0" w14:textId="77777777" w:rsidR="001D715F" w:rsidRPr="001D715F" w:rsidRDefault="001D715F" w:rsidP="003471C6">
      <w:pPr>
        <w:pStyle w:val="Default"/>
        <w:ind w:firstLine="360"/>
      </w:pPr>
    </w:p>
    <w:p w14:paraId="5C03827A" w14:textId="72FF0C58" w:rsidR="001D715F" w:rsidRPr="001D715F" w:rsidRDefault="001D715F" w:rsidP="003471C6">
      <w:pPr>
        <w:ind w:firstLine="360"/>
        <w:rPr>
          <w:szCs w:val="24"/>
        </w:rPr>
      </w:pPr>
      <w:r w:rsidRPr="001D715F">
        <w:rPr>
          <w:szCs w:val="24"/>
        </w:rPr>
        <w:t>2.</w:t>
      </w:r>
      <w:r w:rsidR="003471C6">
        <w:rPr>
          <w:szCs w:val="24"/>
        </w:rPr>
        <w:t xml:space="preserve"> </w:t>
      </w:r>
      <w:r w:rsidRPr="001D715F">
        <w:rPr>
          <w:szCs w:val="24"/>
        </w:rPr>
        <w:t>Within 10 business days of submitting the information in paragraph d</w:t>
      </w:r>
      <w:proofErr w:type="gramStart"/>
      <w:r w:rsidRPr="001D715F">
        <w:rPr>
          <w:szCs w:val="24"/>
        </w:rPr>
        <w:t>)1</w:t>
      </w:r>
      <w:proofErr w:type="gramEnd"/>
      <w:r w:rsidRPr="001D715F">
        <w:rPr>
          <w:szCs w:val="24"/>
        </w:rPr>
        <w:t xml:space="preserve"> of this clause: any further</w:t>
      </w:r>
      <w:r>
        <w:rPr>
          <w:szCs w:val="24"/>
        </w:rPr>
        <w:t xml:space="preserve"> </w:t>
      </w:r>
      <w:r w:rsidRPr="001D715F">
        <w:rPr>
          <w:szCs w:val="24"/>
        </w:rPr>
        <w:t xml:space="preserve">available information about mitigation actions undertaken or recommended. In addition, the </w:t>
      </w:r>
      <w:r w:rsidR="00057C00">
        <w:rPr>
          <w:szCs w:val="24"/>
        </w:rPr>
        <w:t>Vendor</w:t>
      </w:r>
      <w:r>
        <w:rPr>
          <w:szCs w:val="24"/>
        </w:rPr>
        <w:t xml:space="preserve"> </w:t>
      </w:r>
      <w:r w:rsidR="005653BE">
        <w:rPr>
          <w:szCs w:val="24"/>
        </w:rPr>
        <w:t>must</w:t>
      </w:r>
      <w:r w:rsidR="005653BE" w:rsidRPr="001D715F">
        <w:rPr>
          <w:szCs w:val="24"/>
        </w:rPr>
        <w:t xml:space="preserve"> </w:t>
      </w:r>
      <w:r w:rsidRPr="001D715F">
        <w:rPr>
          <w:szCs w:val="24"/>
        </w:rPr>
        <w:t>describe the efforts it undertook to prevent use or submission of covered telecommunications and</w:t>
      </w:r>
      <w:r>
        <w:rPr>
          <w:szCs w:val="24"/>
        </w:rPr>
        <w:t xml:space="preserve"> </w:t>
      </w:r>
      <w:r w:rsidRPr="001D715F">
        <w:rPr>
          <w:szCs w:val="24"/>
        </w:rPr>
        <w:t>video surveillance equipment or services, and any additional efforts that will be undertaken to prevent future use or submission of covered telecommunications and video surveillance equipment or services.</w:t>
      </w:r>
    </w:p>
    <w:p w14:paraId="0DB15784" w14:textId="338A24A3" w:rsidR="001D715F" w:rsidRDefault="001D715F" w:rsidP="001D715F">
      <w:pPr>
        <w:rPr>
          <w:sz w:val="22"/>
        </w:rPr>
      </w:pPr>
    </w:p>
    <w:p w14:paraId="60229173" w14:textId="545C9DBE" w:rsidR="00C22955" w:rsidRDefault="00C22955" w:rsidP="00C22955">
      <w:pPr>
        <w:rPr>
          <w:bCs/>
          <w:szCs w:val="24"/>
        </w:rPr>
      </w:pPr>
      <w:r>
        <w:rPr>
          <w:b/>
          <w:bCs/>
          <w:szCs w:val="24"/>
        </w:rPr>
        <w:t>e</w:t>
      </w:r>
      <w:r w:rsidRPr="001D715F">
        <w:rPr>
          <w:b/>
          <w:bCs/>
          <w:szCs w:val="24"/>
        </w:rPr>
        <w:t>)</w:t>
      </w:r>
      <w:r w:rsidRPr="00C22955">
        <w:rPr>
          <w:bCs/>
          <w:szCs w:val="24"/>
        </w:rPr>
        <w:t xml:space="preserve"> </w:t>
      </w:r>
      <w:r w:rsidRPr="00365410">
        <w:rPr>
          <w:bCs/>
          <w:i/>
          <w:szCs w:val="24"/>
        </w:rPr>
        <w:t>Definitions</w:t>
      </w:r>
      <w:r w:rsidRPr="00C22955">
        <w:rPr>
          <w:bCs/>
          <w:szCs w:val="24"/>
        </w:rPr>
        <w:t xml:space="preserve">  </w:t>
      </w:r>
    </w:p>
    <w:p w14:paraId="001C6861" w14:textId="77777777" w:rsidR="00C22955" w:rsidRDefault="00C22955" w:rsidP="00C22955">
      <w:pPr>
        <w:rPr>
          <w:bCs/>
          <w:szCs w:val="24"/>
        </w:rPr>
      </w:pPr>
    </w:p>
    <w:p w14:paraId="31B3A8B9" w14:textId="77777777" w:rsidR="00C22955" w:rsidRDefault="00C22955" w:rsidP="00615A80">
      <w:pPr>
        <w:spacing w:after="120"/>
        <w:ind w:firstLine="360"/>
      </w:pPr>
      <w:r>
        <w:t>1.  “Covered foreign country” means The People’s Republic of China.</w:t>
      </w:r>
    </w:p>
    <w:p w14:paraId="3C12AD70" w14:textId="17A59EEB" w:rsidR="00C22955" w:rsidRDefault="00C22955" w:rsidP="00867F33">
      <w:pPr>
        <w:ind w:firstLine="360"/>
      </w:pPr>
      <w:r>
        <w:rPr>
          <w:rFonts w:cs="Times New Roman"/>
          <w:szCs w:val="24"/>
        </w:rPr>
        <w:t xml:space="preserve">2.  “Covered telecommunications equipment or services” means – </w:t>
      </w:r>
    </w:p>
    <w:p w14:paraId="435D2150" w14:textId="248F3D69" w:rsidR="00C22955" w:rsidRDefault="00C22955" w:rsidP="00615A80">
      <w:pPr>
        <w:spacing w:before="120" w:after="120"/>
        <w:ind w:left="1080" w:hanging="360"/>
      </w:pPr>
      <w:r>
        <w:t xml:space="preserve">(a) Telecommunications equipment produced by Huawei Technologies Company or </w:t>
      </w:r>
      <w:proofErr w:type="spellStart"/>
      <w:r w:rsidR="00110F16">
        <w:t>Zhongxing</w:t>
      </w:r>
      <w:proofErr w:type="spellEnd"/>
      <w:r w:rsidR="00110F16">
        <w:t xml:space="preserve"> Telecommunications Equipment (</w:t>
      </w:r>
      <w:r>
        <w:t>ZTE</w:t>
      </w:r>
      <w:r w:rsidR="00110F16">
        <w:t>)</w:t>
      </w:r>
      <w:r>
        <w:t xml:space="preserve"> Corporation (or any subsidiary or affiliate of such entities); (b) For the purpose of public safety, security of </w:t>
      </w:r>
      <w:r w:rsidR="00110F16">
        <w:t>g</w:t>
      </w:r>
      <w:r>
        <w:t xml:space="preserve">overnment facilities, physical security surveillance of critical infrastructure, and other national security purposes, video surveillance and telecommunications equipment produced by </w:t>
      </w:r>
      <w:proofErr w:type="spellStart"/>
      <w:r>
        <w:t>Hytera</w:t>
      </w:r>
      <w:proofErr w:type="spellEnd"/>
      <w:r>
        <w:t xml:space="preserve"> Communications Corporation, Hangzhou </w:t>
      </w:r>
      <w:proofErr w:type="spellStart"/>
      <w:r>
        <w:t>Hikvision</w:t>
      </w:r>
      <w:proofErr w:type="spellEnd"/>
      <w:r>
        <w:t xml:space="preserve"> Digital Technology Company, or </w:t>
      </w:r>
      <w:proofErr w:type="spellStart"/>
      <w:r>
        <w:t>Dahua</w:t>
      </w:r>
      <w:proofErr w:type="spellEnd"/>
      <w:r>
        <w:t xml:space="preserve"> Technology Company (or any subsidiary or affiliate of such entities); (c) Telecommunications or video surveillance services provided by such entities or using such equipment; or (d)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  </w:t>
      </w:r>
    </w:p>
    <w:p w14:paraId="591AC27A" w14:textId="2633B95E" w:rsidR="00B359E6" w:rsidRDefault="00110F16" w:rsidP="00615A80">
      <w:pPr>
        <w:spacing w:after="120"/>
        <w:ind w:firstLine="360"/>
        <w:rPr>
          <w:rFonts w:cs="Times New Roman"/>
          <w:color w:val="000000"/>
          <w:sz w:val="23"/>
          <w:szCs w:val="23"/>
        </w:rPr>
      </w:pPr>
      <w:r>
        <w:rPr>
          <w:rFonts w:cs="Times New Roman"/>
          <w:szCs w:val="24"/>
        </w:rPr>
        <w:t xml:space="preserve">3.  </w:t>
      </w:r>
      <w:r w:rsidR="0031067B">
        <w:rPr>
          <w:rFonts w:cs="Times New Roman"/>
          <w:szCs w:val="24"/>
        </w:rPr>
        <w:t>“</w:t>
      </w:r>
      <w:r>
        <w:rPr>
          <w:rFonts w:cs="Times New Roman"/>
          <w:szCs w:val="24"/>
        </w:rPr>
        <w:t>Critical technology” means</w:t>
      </w:r>
      <w:r w:rsidR="00B359E6">
        <w:rPr>
          <w:rFonts w:cs="Times New Roman"/>
          <w:szCs w:val="24"/>
        </w:rPr>
        <w:t xml:space="preserve"> </w:t>
      </w:r>
      <w:r w:rsidR="000710D1">
        <w:rPr>
          <w:rFonts w:cs="Times New Roman"/>
          <w:color w:val="000000"/>
          <w:sz w:val="23"/>
          <w:szCs w:val="23"/>
        </w:rPr>
        <w:t>d</w:t>
      </w:r>
      <w:r w:rsidRPr="00110F16">
        <w:rPr>
          <w:rFonts w:cs="Times New Roman"/>
          <w:color w:val="000000"/>
          <w:sz w:val="23"/>
          <w:szCs w:val="23"/>
        </w:rPr>
        <w:t xml:space="preserve">efense articles or defense services included on the United States Munitions List set forth in the International Traffic in Arms Regulations pursuant to Subchapter M of Chapter I of Title 22, Code of Federal Regulations; or </w:t>
      </w:r>
    </w:p>
    <w:p w14:paraId="184DD911" w14:textId="77777777" w:rsidR="00B359E6" w:rsidRDefault="00110F16" w:rsidP="00615A80">
      <w:pPr>
        <w:spacing w:after="120"/>
        <w:ind w:firstLine="360"/>
        <w:rPr>
          <w:rFonts w:cs="Times New Roman"/>
          <w:color w:val="000000"/>
          <w:sz w:val="23"/>
          <w:szCs w:val="23"/>
        </w:rPr>
      </w:pPr>
      <w:r w:rsidRPr="00110F16">
        <w:rPr>
          <w:rFonts w:cs="Times New Roman"/>
          <w:color w:val="000000"/>
          <w:sz w:val="23"/>
          <w:szCs w:val="23"/>
        </w:rPr>
        <w:t xml:space="preserve">Items included on the Commerce Control List set forth in Supplement No. 1 to Part 774 of the Export Administration Regulations pursuant to Subchapter C of Chapter VII of Title 15, Code of Federal Regulations, and controlled: </w:t>
      </w:r>
    </w:p>
    <w:p w14:paraId="009FC348" w14:textId="77777777" w:rsidR="00B359E6" w:rsidRDefault="00110F16" w:rsidP="00615A80">
      <w:pPr>
        <w:spacing w:after="120"/>
        <w:ind w:left="1080" w:hanging="360"/>
        <w:rPr>
          <w:rFonts w:cs="Times New Roman"/>
          <w:color w:val="000000"/>
          <w:sz w:val="23"/>
          <w:szCs w:val="23"/>
        </w:rPr>
      </w:pPr>
      <w:r w:rsidRPr="00110F16">
        <w:rPr>
          <w:rFonts w:cs="Times New Roman"/>
          <w:color w:val="000000"/>
          <w:sz w:val="23"/>
          <w:szCs w:val="23"/>
        </w:rPr>
        <w:t xml:space="preserve">(1) Pursuant to multilateral regimes, including for reasons relating to national security, chemical and biological weapons proliferation, nuclear nonproliferation, or missile technology; </w:t>
      </w:r>
    </w:p>
    <w:p w14:paraId="03FF26D8" w14:textId="77777777" w:rsidR="00B359E6" w:rsidRDefault="00110F16" w:rsidP="00615A80">
      <w:pPr>
        <w:spacing w:after="120"/>
        <w:ind w:left="1080" w:hanging="360"/>
        <w:rPr>
          <w:rFonts w:cs="Times New Roman"/>
          <w:color w:val="000000"/>
          <w:sz w:val="23"/>
          <w:szCs w:val="23"/>
        </w:rPr>
      </w:pPr>
      <w:r w:rsidRPr="00110F16">
        <w:rPr>
          <w:rFonts w:cs="Times New Roman"/>
          <w:color w:val="000000"/>
          <w:sz w:val="23"/>
          <w:szCs w:val="23"/>
        </w:rPr>
        <w:t xml:space="preserve">(2) For reasons relating to regional stability or surreptitious listening; </w:t>
      </w:r>
    </w:p>
    <w:p w14:paraId="58CB44CF" w14:textId="0409BF9B" w:rsidR="0031067B" w:rsidRDefault="00110F16" w:rsidP="00615A80">
      <w:pPr>
        <w:spacing w:after="120"/>
        <w:ind w:left="1080" w:hanging="360"/>
        <w:rPr>
          <w:rFonts w:cs="Times New Roman"/>
          <w:color w:val="000000"/>
          <w:sz w:val="23"/>
          <w:szCs w:val="23"/>
        </w:rPr>
      </w:pPr>
      <w:r w:rsidRPr="00110F16">
        <w:rPr>
          <w:rFonts w:cs="Times New Roman"/>
          <w:color w:val="000000"/>
          <w:sz w:val="23"/>
          <w:szCs w:val="23"/>
        </w:rPr>
        <w:t xml:space="preserve">(3) Specially designed and prepared nuclear equipment, parts and components, materials, software, and technology covered by Part 810 of Title 10, Code of Federal Regulations (relating to assistance to foreign atomic energy activities); </w:t>
      </w:r>
    </w:p>
    <w:p w14:paraId="55F5DF5A" w14:textId="77777777" w:rsidR="00437E4F" w:rsidRDefault="00110F16" w:rsidP="00615A80">
      <w:pPr>
        <w:spacing w:after="120"/>
        <w:ind w:left="1080" w:hanging="360"/>
        <w:rPr>
          <w:rFonts w:cs="Times New Roman"/>
          <w:color w:val="000000"/>
          <w:sz w:val="23"/>
          <w:szCs w:val="23"/>
        </w:rPr>
      </w:pPr>
      <w:r w:rsidRPr="00110F16">
        <w:rPr>
          <w:rFonts w:cs="Times New Roman"/>
          <w:color w:val="000000"/>
          <w:sz w:val="23"/>
          <w:szCs w:val="23"/>
        </w:rPr>
        <w:t>(4) Nuclear facilities, equipment, and material covered by Part 110 of Title 10, Code of Federal Regulations (relating to export and import of nuclear equipment and material);</w:t>
      </w:r>
    </w:p>
    <w:p w14:paraId="1AADB36A" w14:textId="77777777" w:rsidR="00437E4F" w:rsidRDefault="00437E4F" w:rsidP="00615A80">
      <w:pPr>
        <w:spacing w:after="120"/>
        <w:ind w:left="1080" w:hanging="360"/>
        <w:rPr>
          <w:sz w:val="23"/>
          <w:szCs w:val="23"/>
        </w:rPr>
      </w:pPr>
      <w:r w:rsidRPr="00437E4F">
        <w:rPr>
          <w:sz w:val="23"/>
          <w:szCs w:val="23"/>
        </w:rPr>
        <w:t xml:space="preserve">(5) Select agents and toxins covered by Part 331 of Title 7, Code of Federal Regulations; Part 121 of Title 9, Code of Federal Regulations; or Part 73 of Title 42, Code of Federal Regulations; or </w:t>
      </w:r>
    </w:p>
    <w:p w14:paraId="26A9CD0B" w14:textId="14C8B1D1" w:rsidR="00437E4F" w:rsidRPr="00437E4F" w:rsidRDefault="00437E4F" w:rsidP="00615A80">
      <w:pPr>
        <w:spacing w:after="120"/>
        <w:ind w:left="1080" w:hanging="360"/>
        <w:rPr>
          <w:sz w:val="23"/>
          <w:szCs w:val="23"/>
        </w:rPr>
      </w:pPr>
      <w:r w:rsidRPr="00437E4F">
        <w:rPr>
          <w:sz w:val="23"/>
          <w:szCs w:val="23"/>
        </w:rPr>
        <w:t xml:space="preserve">(6) Emerging and foundational technologies controlled pursuant to Section 4817 of Title 50, U.S.C., also known as Section 1758 of the Export Control Reform Act of 2018. </w:t>
      </w:r>
    </w:p>
    <w:p w14:paraId="6F58409A" w14:textId="2AF96C2F" w:rsidR="00110F16" w:rsidRPr="00110F16" w:rsidRDefault="00437E4F" w:rsidP="00615A80">
      <w:pPr>
        <w:spacing w:after="120"/>
        <w:ind w:firstLine="360"/>
        <w:rPr>
          <w:sz w:val="23"/>
          <w:szCs w:val="23"/>
        </w:rPr>
      </w:pPr>
      <w:r>
        <w:rPr>
          <w:rFonts w:cs="Times New Roman"/>
          <w:szCs w:val="24"/>
        </w:rPr>
        <w:lastRenderedPageBreak/>
        <w:t xml:space="preserve">4.  </w:t>
      </w:r>
      <w:r w:rsidR="00110F16">
        <w:rPr>
          <w:rFonts w:cs="Times New Roman"/>
          <w:szCs w:val="24"/>
        </w:rPr>
        <w:t>“Reasonable inquiry” means</w:t>
      </w:r>
      <w:r w:rsidR="00110F16">
        <w:t xml:space="preserve"> </w:t>
      </w:r>
      <w:r w:rsidR="00B359E6">
        <w:t>a</w:t>
      </w:r>
      <w:r w:rsidR="00110F16" w:rsidRPr="00110F16">
        <w:rPr>
          <w:sz w:val="23"/>
          <w:szCs w:val="23"/>
        </w:rPr>
        <w:t xml:space="preserve">n inquiry designed to uncover any information in the entity’s possession about the identity of the producer or provider of covered telecommunications equipment or services used by the entity that excludes the need to include an internal or third-party audit. </w:t>
      </w:r>
    </w:p>
    <w:p w14:paraId="55AC40E7" w14:textId="23D886EF" w:rsidR="00C22955" w:rsidRDefault="00437E4F" w:rsidP="00615A80">
      <w:pPr>
        <w:spacing w:after="120"/>
        <w:ind w:firstLine="360"/>
        <w:rPr>
          <w:sz w:val="22"/>
        </w:rPr>
      </w:pPr>
      <w:r>
        <w:rPr>
          <w:rFonts w:cs="Times New Roman"/>
          <w:szCs w:val="24"/>
        </w:rPr>
        <w:t>5</w:t>
      </w:r>
      <w:r w:rsidR="00C22955">
        <w:rPr>
          <w:rFonts w:cs="Times New Roman"/>
          <w:szCs w:val="24"/>
        </w:rPr>
        <w:t xml:space="preserve">.  “Substantial or essential component” means any </w:t>
      </w:r>
      <w:r w:rsidR="00110F16">
        <w:rPr>
          <w:rFonts w:cs="Times New Roman"/>
          <w:szCs w:val="24"/>
        </w:rPr>
        <w:t>covered telecommunications equipment</w:t>
      </w:r>
      <w:r w:rsidR="00C22955">
        <w:rPr>
          <w:rFonts w:cs="Times New Roman"/>
          <w:szCs w:val="24"/>
        </w:rPr>
        <w:t xml:space="preserve"> necessary for the proper function or performance of a piece of equipment, system, or service.</w:t>
      </w:r>
    </w:p>
    <w:p w14:paraId="38D50506" w14:textId="5F2E9C1B" w:rsidR="00C22955" w:rsidRDefault="00C22955" w:rsidP="00615A80">
      <w:pPr>
        <w:spacing w:after="120"/>
        <w:rPr>
          <w:sz w:val="22"/>
        </w:rPr>
      </w:pPr>
    </w:p>
    <w:p w14:paraId="5F7C90C9" w14:textId="77777777" w:rsidR="00C22955" w:rsidRDefault="00C22955" w:rsidP="001D715F">
      <w:pPr>
        <w:rPr>
          <w:sz w:val="22"/>
        </w:rPr>
      </w:pPr>
    </w:p>
    <w:p w14:paraId="67772A95" w14:textId="77777777" w:rsidR="001D715F" w:rsidRDefault="001D715F" w:rsidP="001D715F">
      <w:pPr>
        <w:pStyle w:val="Default"/>
        <w:rPr>
          <w:color w:val="auto"/>
          <w:sz w:val="22"/>
          <w:szCs w:val="22"/>
        </w:rPr>
      </w:pPr>
    </w:p>
    <w:p w14:paraId="61A988D8" w14:textId="77777777" w:rsidR="001D715F" w:rsidRPr="001D715F" w:rsidRDefault="001D715F">
      <w:pPr>
        <w:pStyle w:val="Default"/>
        <w:rPr>
          <w:color w:val="auto"/>
        </w:rPr>
      </w:pPr>
      <w:r w:rsidRPr="001D715F">
        <w:rPr>
          <w:color w:val="auto"/>
        </w:rPr>
        <w:t xml:space="preserve">___________________________ </w:t>
      </w:r>
      <w:r w:rsidRPr="001D715F">
        <w:rPr>
          <w:color w:val="auto"/>
        </w:rPr>
        <w:tab/>
      </w:r>
      <w:r w:rsidRPr="001D715F">
        <w:rPr>
          <w:color w:val="auto"/>
        </w:rPr>
        <w:tab/>
        <w:t xml:space="preserve">_________________________ </w:t>
      </w:r>
    </w:p>
    <w:p w14:paraId="3FF3A3D4" w14:textId="2D665BB8" w:rsidR="001D715F" w:rsidRDefault="001D715F">
      <w:pPr>
        <w:pStyle w:val="Default"/>
        <w:rPr>
          <w:color w:val="auto"/>
        </w:rPr>
      </w:pPr>
      <w:r w:rsidRPr="001D715F">
        <w:rPr>
          <w:color w:val="auto"/>
        </w:rPr>
        <w:t xml:space="preserve">Signature </w:t>
      </w:r>
      <w:r w:rsidRPr="001D715F">
        <w:rPr>
          <w:color w:val="auto"/>
        </w:rPr>
        <w:tab/>
      </w:r>
      <w:r w:rsidRPr="001D715F">
        <w:rPr>
          <w:color w:val="auto"/>
        </w:rPr>
        <w:tab/>
      </w:r>
      <w:r w:rsidRPr="001D715F">
        <w:rPr>
          <w:color w:val="auto"/>
        </w:rPr>
        <w:tab/>
      </w:r>
      <w:r w:rsidRPr="001D715F">
        <w:rPr>
          <w:color w:val="auto"/>
        </w:rPr>
        <w:tab/>
      </w:r>
      <w:r w:rsidRPr="001D715F">
        <w:rPr>
          <w:color w:val="auto"/>
        </w:rPr>
        <w:tab/>
        <w:t xml:space="preserve">Date </w:t>
      </w:r>
    </w:p>
    <w:p w14:paraId="4AD96295" w14:textId="77777777" w:rsidR="00ED2064" w:rsidRPr="001D715F" w:rsidRDefault="00ED2064" w:rsidP="00ED2064">
      <w:pPr>
        <w:pStyle w:val="Default"/>
        <w:rPr>
          <w:color w:val="auto"/>
        </w:rPr>
      </w:pPr>
    </w:p>
    <w:p w14:paraId="00E0E24C" w14:textId="77777777" w:rsidR="001D715F" w:rsidRPr="001D715F" w:rsidRDefault="001D715F">
      <w:pPr>
        <w:pStyle w:val="Default"/>
        <w:rPr>
          <w:color w:val="auto"/>
        </w:rPr>
      </w:pPr>
      <w:r w:rsidRPr="001D715F">
        <w:rPr>
          <w:color w:val="auto"/>
        </w:rPr>
        <w:t>___________________________</w:t>
      </w:r>
      <w:r w:rsidRPr="001D715F">
        <w:rPr>
          <w:color w:val="auto"/>
        </w:rPr>
        <w:tab/>
      </w:r>
      <w:r w:rsidRPr="001D715F">
        <w:rPr>
          <w:color w:val="auto"/>
        </w:rPr>
        <w:tab/>
        <w:t xml:space="preserve"> _________________________ </w:t>
      </w:r>
    </w:p>
    <w:p w14:paraId="4E562EC3" w14:textId="10A7C593" w:rsidR="001D715F" w:rsidRDefault="001D715F">
      <w:pPr>
        <w:pStyle w:val="Default"/>
        <w:rPr>
          <w:color w:val="auto"/>
        </w:rPr>
      </w:pPr>
      <w:r w:rsidRPr="001D715F">
        <w:rPr>
          <w:color w:val="auto"/>
        </w:rPr>
        <w:t xml:space="preserve">Printed Name </w:t>
      </w:r>
      <w:r w:rsidRPr="001D715F">
        <w:rPr>
          <w:color w:val="auto"/>
        </w:rPr>
        <w:tab/>
      </w:r>
      <w:r w:rsidRPr="001D715F">
        <w:rPr>
          <w:color w:val="auto"/>
        </w:rPr>
        <w:tab/>
      </w:r>
      <w:r w:rsidRPr="001D715F">
        <w:rPr>
          <w:color w:val="auto"/>
        </w:rPr>
        <w:tab/>
      </w:r>
      <w:r w:rsidRPr="001D715F">
        <w:rPr>
          <w:color w:val="auto"/>
        </w:rPr>
        <w:tab/>
      </w:r>
      <w:r w:rsidRPr="001D715F">
        <w:rPr>
          <w:color w:val="auto"/>
        </w:rPr>
        <w:tab/>
        <w:t xml:space="preserve">Job Title </w:t>
      </w:r>
    </w:p>
    <w:p w14:paraId="0F534AE8" w14:textId="77777777" w:rsidR="00ED2064" w:rsidRPr="001D715F" w:rsidRDefault="00ED2064" w:rsidP="00ED2064">
      <w:pPr>
        <w:pStyle w:val="Default"/>
        <w:rPr>
          <w:color w:val="auto"/>
        </w:rPr>
      </w:pPr>
    </w:p>
    <w:p w14:paraId="5B4CCEAC" w14:textId="77777777" w:rsidR="001D715F" w:rsidRPr="001D715F" w:rsidRDefault="001D715F">
      <w:pPr>
        <w:pStyle w:val="Default"/>
        <w:rPr>
          <w:color w:val="auto"/>
        </w:rPr>
      </w:pPr>
      <w:r w:rsidRPr="001D715F">
        <w:rPr>
          <w:color w:val="auto"/>
        </w:rPr>
        <w:t xml:space="preserve">___________________________ </w:t>
      </w:r>
      <w:r w:rsidRPr="001D715F">
        <w:rPr>
          <w:color w:val="auto"/>
        </w:rPr>
        <w:tab/>
      </w:r>
      <w:r w:rsidRPr="001D715F">
        <w:rPr>
          <w:color w:val="auto"/>
        </w:rPr>
        <w:tab/>
        <w:t xml:space="preserve"> _________________________</w:t>
      </w:r>
      <w:r>
        <w:rPr>
          <w:color w:val="auto"/>
        </w:rPr>
        <w:t xml:space="preserve"> </w:t>
      </w:r>
    </w:p>
    <w:p w14:paraId="2CA18E01" w14:textId="6BE52345" w:rsidR="001D715F" w:rsidRDefault="001D715F">
      <w:pPr>
        <w:pStyle w:val="Default"/>
        <w:rPr>
          <w:color w:val="auto"/>
        </w:rPr>
      </w:pPr>
      <w:r w:rsidRPr="001D715F">
        <w:rPr>
          <w:color w:val="auto"/>
        </w:rPr>
        <w:t xml:space="preserve">Vendor Name </w:t>
      </w:r>
      <w:r w:rsidRPr="001D715F">
        <w:rPr>
          <w:color w:val="auto"/>
        </w:rPr>
        <w:tab/>
      </w:r>
      <w:r w:rsidRPr="001D715F">
        <w:rPr>
          <w:color w:val="auto"/>
        </w:rPr>
        <w:tab/>
      </w:r>
      <w:r w:rsidRPr="001D715F">
        <w:rPr>
          <w:color w:val="auto"/>
        </w:rPr>
        <w:tab/>
      </w:r>
      <w:r w:rsidR="00ED2064">
        <w:rPr>
          <w:color w:val="auto"/>
        </w:rPr>
        <w:tab/>
      </w:r>
      <w:r w:rsidR="00ED2064">
        <w:rPr>
          <w:color w:val="auto"/>
        </w:rPr>
        <w:tab/>
      </w:r>
      <w:r w:rsidR="00EC30BC">
        <w:rPr>
          <w:color w:val="auto"/>
        </w:rPr>
        <w:t>UEI</w:t>
      </w:r>
      <w:r w:rsidR="00ED2064">
        <w:rPr>
          <w:color w:val="auto"/>
        </w:rPr>
        <w:t xml:space="preserve"> and/or </w:t>
      </w:r>
      <w:r w:rsidRPr="001D715F">
        <w:rPr>
          <w:color w:val="auto"/>
        </w:rPr>
        <w:t>DUNS Number</w:t>
      </w:r>
    </w:p>
    <w:p w14:paraId="458BDCF5" w14:textId="77777777" w:rsidR="00ED2064" w:rsidRPr="001D715F" w:rsidRDefault="00ED2064" w:rsidP="00ED2064">
      <w:pPr>
        <w:pStyle w:val="Default"/>
        <w:rPr>
          <w:color w:val="auto"/>
        </w:rPr>
      </w:pPr>
    </w:p>
    <w:p w14:paraId="4CD176F5" w14:textId="77777777" w:rsidR="001D715F" w:rsidRPr="001D715F" w:rsidRDefault="001D715F">
      <w:pPr>
        <w:pStyle w:val="Default"/>
        <w:rPr>
          <w:color w:val="auto"/>
        </w:rPr>
      </w:pPr>
      <w:r w:rsidRPr="001D715F">
        <w:rPr>
          <w:color w:val="auto"/>
        </w:rPr>
        <w:t xml:space="preserve">___________________________ </w:t>
      </w:r>
      <w:r w:rsidRPr="001D715F">
        <w:rPr>
          <w:color w:val="auto"/>
        </w:rPr>
        <w:tab/>
      </w:r>
      <w:r w:rsidRPr="001D715F">
        <w:rPr>
          <w:color w:val="auto"/>
        </w:rPr>
        <w:tab/>
        <w:t xml:space="preserve">__________________________ </w:t>
      </w:r>
    </w:p>
    <w:p w14:paraId="1ACD707E" w14:textId="77777777" w:rsidR="001D715F" w:rsidRPr="001D715F" w:rsidRDefault="001D715F">
      <w:pPr>
        <w:rPr>
          <w:szCs w:val="24"/>
        </w:rPr>
      </w:pPr>
      <w:r w:rsidRPr="001D715F">
        <w:rPr>
          <w:szCs w:val="24"/>
        </w:rPr>
        <w:t xml:space="preserve">Email Address </w:t>
      </w:r>
      <w:r>
        <w:rPr>
          <w:szCs w:val="24"/>
        </w:rPr>
        <w:tab/>
      </w:r>
      <w:r>
        <w:rPr>
          <w:szCs w:val="24"/>
        </w:rPr>
        <w:tab/>
      </w:r>
      <w:r>
        <w:rPr>
          <w:szCs w:val="24"/>
        </w:rPr>
        <w:tab/>
      </w:r>
      <w:r>
        <w:rPr>
          <w:szCs w:val="24"/>
        </w:rPr>
        <w:tab/>
      </w:r>
      <w:r w:rsidRPr="001D715F">
        <w:rPr>
          <w:szCs w:val="24"/>
        </w:rPr>
        <w:t>Phone Number</w:t>
      </w:r>
    </w:p>
    <w:sectPr w:rsidR="001D715F" w:rsidRPr="001D715F" w:rsidSect="00B521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F75C3"/>
    <w:multiLevelType w:val="multilevel"/>
    <w:tmpl w:val="72F23AC0"/>
    <w:lvl w:ilvl="0">
      <w:start w:val="1"/>
      <w:numFmt w:val="upperLetter"/>
      <w:pStyle w:val="Heading1"/>
      <w:suff w:val="nothing"/>
      <w:lvlText w:val="Section %1 - "/>
      <w:lvlJc w:val="left"/>
      <w:rPr>
        <w:rFonts w:cs="Times New Roman" w:hint="default"/>
        <w:b/>
        <w:caps/>
      </w:rPr>
    </w:lvl>
    <w:lvl w:ilvl="1">
      <w:start w:val="1"/>
      <w:numFmt w:val="decimal"/>
      <w:pStyle w:val="Heading2"/>
      <w:lvlText w:val="%2."/>
      <w:lvlJc w:val="left"/>
      <w:pPr>
        <w:tabs>
          <w:tab w:val="num" w:pos="9180"/>
        </w:tabs>
        <w:ind w:left="9612" w:hanging="432"/>
      </w:pPr>
      <w:rPr>
        <w:rFonts w:ascii="Times New Roman" w:hAnsi="Times New Roman" w:cs="Times New Roman"/>
        <w:b w:val="0"/>
        <w:i w:val="0"/>
        <w:caps w:val="0"/>
        <w:smallCaps w:val="0"/>
        <w:strike w:val="0"/>
        <w:dstrike w:val="0"/>
        <w:vanish w:val="0"/>
        <w:color w:val="auto"/>
        <w:spacing w:val="0"/>
        <w:kern w:val="0"/>
        <w:position w:val="0"/>
        <w:u w:val="none"/>
        <w:vertAlign w:val="baseline"/>
      </w:rPr>
    </w:lvl>
    <w:lvl w:ilvl="2">
      <w:start w:val="1"/>
      <w:numFmt w:val="lowerLetter"/>
      <w:pStyle w:val="Heading3"/>
      <w:lvlText w:val="%3."/>
      <w:lvlJc w:val="left"/>
      <w:pPr>
        <w:tabs>
          <w:tab w:val="num" w:pos="1098"/>
        </w:tabs>
        <w:ind w:left="1098" w:hanging="288"/>
      </w:pPr>
      <w:rPr>
        <w:rFonts w:ascii="Times New Roman" w:hAnsi="Times New Roman" w:cs="Times New Roman" w:hint="default"/>
        <w:b w:val="0"/>
        <w:i w:val="0"/>
        <w:color w:val="auto"/>
        <w:sz w:val="24"/>
      </w:rPr>
    </w:lvl>
    <w:lvl w:ilvl="3">
      <w:start w:val="1"/>
      <w:numFmt w:val="decimal"/>
      <w:pStyle w:val="Heading4"/>
      <w:lvlText w:val="(%4)"/>
      <w:lvlJc w:val="right"/>
      <w:pPr>
        <w:tabs>
          <w:tab w:val="num" w:pos="1368"/>
        </w:tabs>
        <w:ind w:left="1368" w:hanging="216"/>
      </w:pPr>
      <w:rPr>
        <w:rFonts w:ascii="Times New Roman" w:hAnsi="Times New Roman" w:cs="Times New Roman" w:hint="default"/>
      </w:rPr>
    </w:lvl>
    <w:lvl w:ilvl="4">
      <w:start w:val="1"/>
      <w:numFmt w:val="lowerLetter"/>
      <w:pStyle w:val="Heading5"/>
      <w:lvlText w:val="(%5)"/>
      <w:lvlJc w:val="right"/>
      <w:pPr>
        <w:tabs>
          <w:tab w:val="num" w:pos="1872"/>
        </w:tabs>
        <w:ind w:left="1872" w:hanging="360"/>
      </w:pPr>
      <w:rPr>
        <w:rFonts w:ascii="Times New Roman" w:hAnsi="Times New Roman" w:cs="Times New Roman" w:hint="default"/>
      </w:rPr>
    </w:lvl>
    <w:lvl w:ilvl="5">
      <w:start w:val="1"/>
      <w:numFmt w:val="lowerRoman"/>
      <w:pStyle w:val="Heading6"/>
      <w:lvlText w:val="%6."/>
      <w:lvlJc w:val="right"/>
      <w:pPr>
        <w:tabs>
          <w:tab w:val="num" w:pos="2088"/>
        </w:tabs>
        <w:ind w:left="2088" w:hanging="216"/>
      </w:pPr>
      <w:rPr>
        <w:rFonts w:ascii="Times New Roman" w:hAnsi="Times New Roman" w:cs="Times New Roman" w:hint="default"/>
      </w:rPr>
    </w:lvl>
    <w:lvl w:ilvl="6">
      <w:start w:val="1"/>
      <w:numFmt w:val="decimal"/>
      <w:lvlText w:val="%7."/>
      <w:lvlJc w:val="right"/>
      <w:pPr>
        <w:tabs>
          <w:tab w:val="num" w:pos="72"/>
        </w:tabs>
        <w:ind w:left="2592" w:hanging="360"/>
      </w:pPr>
      <w:rPr>
        <w:rFonts w:ascii="Times New Roman" w:hAnsi="Times New Roman" w:cs="Times New Roman" w:hint="default"/>
      </w:rPr>
    </w:lvl>
    <w:lvl w:ilvl="7">
      <w:start w:val="1"/>
      <w:numFmt w:val="lowerLetter"/>
      <w:lvlText w:val="%8."/>
      <w:lvlJc w:val="right"/>
      <w:pPr>
        <w:tabs>
          <w:tab w:val="num" w:pos="72"/>
        </w:tabs>
        <w:ind w:left="2952" w:hanging="360"/>
      </w:pPr>
      <w:rPr>
        <w:rFonts w:ascii="Times New Roman" w:hAnsi="Times New Roman" w:cs="Times New Roman" w:hint="default"/>
      </w:rPr>
    </w:lvl>
    <w:lvl w:ilvl="8">
      <w:start w:val="1"/>
      <w:numFmt w:val="lowerRoman"/>
      <w:lvlText w:val="%9."/>
      <w:lvlJc w:val="right"/>
      <w:pPr>
        <w:tabs>
          <w:tab w:val="num" w:pos="72"/>
        </w:tabs>
        <w:ind w:left="3312" w:hanging="36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5F"/>
    <w:rsid w:val="00057C00"/>
    <w:rsid w:val="000710D1"/>
    <w:rsid w:val="000776D1"/>
    <w:rsid w:val="000B32CF"/>
    <w:rsid w:val="000F39F3"/>
    <w:rsid w:val="00110F16"/>
    <w:rsid w:val="00130F4E"/>
    <w:rsid w:val="00146334"/>
    <w:rsid w:val="00185250"/>
    <w:rsid w:val="001D715F"/>
    <w:rsid w:val="00272F19"/>
    <w:rsid w:val="002D1B4E"/>
    <w:rsid w:val="0031067B"/>
    <w:rsid w:val="003471C6"/>
    <w:rsid w:val="00365410"/>
    <w:rsid w:val="00385617"/>
    <w:rsid w:val="003F4B50"/>
    <w:rsid w:val="00437E4F"/>
    <w:rsid w:val="004A7A3F"/>
    <w:rsid w:val="00536BA3"/>
    <w:rsid w:val="005653BE"/>
    <w:rsid w:val="00615A80"/>
    <w:rsid w:val="00754712"/>
    <w:rsid w:val="00756BDE"/>
    <w:rsid w:val="007F340A"/>
    <w:rsid w:val="008157CF"/>
    <w:rsid w:val="00867F33"/>
    <w:rsid w:val="00883995"/>
    <w:rsid w:val="008A3ACD"/>
    <w:rsid w:val="00977E09"/>
    <w:rsid w:val="009E5714"/>
    <w:rsid w:val="009F6482"/>
    <w:rsid w:val="00A21133"/>
    <w:rsid w:val="00B359E6"/>
    <w:rsid w:val="00B5219A"/>
    <w:rsid w:val="00C22955"/>
    <w:rsid w:val="00D46FF8"/>
    <w:rsid w:val="00D9147B"/>
    <w:rsid w:val="00E21DD2"/>
    <w:rsid w:val="00E72735"/>
    <w:rsid w:val="00E77EF2"/>
    <w:rsid w:val="00E908FD"/>
    <w:rsid w:val="00EC30BC"/>
    <w:rsid w:val="00ED2064"/>
    <w:rsid w:val="00F41E26"/>
    <w:rsid w:val="00F6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8F04"/>
  <w15:chartTrackingRefBased/>
  <w15:docId w15:val="{0CC23AB7-72BF-4A3B-A15F-78FE20B6B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8FD"/>
    <w:pPr>
      <w:spacing w:after="0" w:line="240" w:lineRule="auto"/>
    </w:pPr>
    <w:rPr>
      <w:rFonts w:ascii="Times New Roman" w:hAnsi="Times New Roman"/>
      <w:sz w:val="24"/>
    </w:rPr>
  </w:style>
  <w:style w:type="paragraph" w:styleId="Heading1">
    <w:name w:val="heading 1"/>
    <w:aliases w:val="Section"/>
    <w:basedOn w:val="Normal"/>
    <w:next w:val="Normal"/>
    <w:link w:val="Heading1Char"/>
    <w:uiPriority w:val="99"/>
    <w:qFormat/>
    <w:rsid w:val="00C22955"/>
    <w:pPr>
      <w:numPr>
        <w:numId w:val="1"/>
      </w:numPr>
      <w:spacing w:before="120" w:after="120"/>
      <w:outlineLvl w:val="0"/>
    </w:pPr>
    <w:rPr>
      <w:rFonts w:eastAsia="Times New Roman" w:cs="Times New Roman"/>
      <w:b/>
      <w:sz w:val="28"/>
      <w:szCs w:val="20"/>
    </w:rPr>
  </w:style>
  <w:style w:type="paragraph" w:styleId="Heading2">
    <w:name w:val="heading 2"/>
    <w:aliases w:val="Heading 2 - Clause,Clause title"/>
    <w:basedOn w:val="Heading1"/>
    <w:next w:val="Normal"/>
    <w:link w:val="Heading2Char"/>
    <w:uiPriority w:val="99"/>
    <w:qFormat/>
    <w:rsid w:val="00C22955"/>
    <w:pPr>
      <w:keepNext/>
      <w:numPr>
        <w:ilvl w:val="1"/>
      </w:numPr>
      <w:tabs>
        <w:tab w:val="clear" w:pos="9180"/>
        <w:tab w:val="num" w:pos="0"/>
      </w:tabs>
      <w:spacing w:before="240"/>
      <w:outlineLvl w:val="1"/>
    </w:pPr>
    <w:rPr>
      <w:rFonts w:cs="Arial"/>
      <w:bCs/>
      <w:iCs/>
      <w:sz w:val="24"/>
      <w:szCs w:val="28"/>
    </w:rPr>
  </w:style>
  <w:style w:type="paragraph" w:styleId="Heading3">
    <w:name w:val="heading 3"/>
    <w:aliases w:val="Heading 3 - Subclause"/>
    <w:basedOn w:val="Heading2"/>
    <w:next w:val="Normal"/>
    <w:link w:val="Heading3Char"/>
    <w:uiPriority w:val="99"/>
    <w:qFormat/>
    <w:rsid w:val="00C22955"/>
    <w:pPr>
      <w:keepNext w:val="0"/>
      <w:numPr>
        <w:ilvl w:val="2"/>
      </w:numPr>
      <w:suppressAutoHyphens/>
      <w:spacing w:before="0"/>
      <w:outlineLvl w:val="2"/>
    </w:pPr>
    <w:rPr>
      <w:b w:val="0"/>
      <w:bCs w:val="0"/>
      <w:szCs w:val="26"/>
    </w:rPr>
  </w:style>
  <w:style w:type="paragraph" w:styleId="Heading4">
    <w:name w:val="heading 4"/>
    <w:basedOn w:val="Heading3"/>
    <w:next w:val="Normal"/>
    <w:link w:val="Heading4Char"/>
    <w:uiPriority w:val="99"/>
    <w:qFormat/>
    <w:rsid w:val="00C22955"/>
    <w:pPr>
      <w:keepLines/>
      <w:numPr>
        <w:ilvl w:val="3"/>
      </w:numPr>
      <w:outlineLvl w:val="3"/>
    </w:pPr>
    <w:rPr>
      <w:bCs/>
    </w:rPr>
  </w:style>
  <w:style w:type="paragraph" w:styleId="Heading5">
    <w:name w:val="heading 5"/>
    <w:basedOn w:val="Heading4"/>
    <w:next w:val="Normal"/>
    <w:link w:val="Heading5Char"/>
    <w:uiPriority w:val="99"/>
    <w:qFormat/>
    <w:rsid w:val="00C22955"/>
    <w:pPr>
      <w:numPr>
        <w:ilvl w:val="4"/>
      </w:numPr>
      <w:outlineLvl w:val="4"/>
    </w:pPr>
    <w:rPr>
      <w:bCs w:val="0"/>
      <w:iCs w:val="0"/>
    </w:rPr>
  </w:style>
  <w:style w:type="paragraph" w:styleId="Heading6">
    <w:name w:val="heading 6"/>
    <w:basedOn w:val="Heading5"/>
    <w:next w:val="Normal"/>
    <w:link w:val="Heading6Char"/>
    <w:uiPriority w:val="99"/>
    <w:qFormat/>
    <w:rsid w:val="00C22955"/>
    <w:pPr>
      <w:numPr>
        <w:ilvl w:val="5"/>
      </w:numPr>
      <w:spacing w:after="6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715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D715F"/>
    <w:rPr>
      <w:color w:val="0563C1" w:themeColor="hyperlink"/>
      <w:u w:val="single"/>
    </w:rPr>
  </w:style>
  <w:style w:type="character" w:styleId="CommentReference">
    <w:name w:val="annotation reference"/>
    <w:basedOn w:val="DefaultParagraphFont"/>
    <w:uiPriority w:val="99"/>
    <w:semiHidden/>
    <w:unhideWhenUsed/>
    <w:rsid w:val="003471C6"/>
    <w:rPr>
      <w:sz w:val="16"/>
      <w:szCs w:val="16"/>
    </w:rPr>
  </w:style>
  <w:style w:type="paragraph" w:styleId="CommentText">
    <w:name w:val="annotation text"/>
    <w:basedOn w:val="Normal"/>
    <w:link w:val="CommentTextChar"/>
    <w:uiPriority w:val="99"/>
    <w:unhideWhenUsed/>
    <w:rsid w:val="003471C6"/>
    <w:rPr>
      <w:sz w:val="20"/>
      <w:szCs w:val="20"/>
    </w:rPr>
  </w:style>
  <w:style w:type="character" w:customStyle="1" w:styleId="CommentTextChar">
    <w:name w:val="Comment Text Char"/>
    <w:basedOn w:val="DefaultParagraphFont"/>
    <w:link w:val="CommentText"/>
    <w:uiPriority w:val="99"/>
    <w:rsid w:val="003471C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471C6"/>
    <w:rPr>
      <w:b/>
      <w:bCs/>
    </w:rPr>
  </w:style>
  <w:style w:type="character" w:customStyle="1" w:styleId="CommentSubjectChar">
    <w:name w:val="Comment Subject Char"/>
    <w:basedOn w:val="CommentTextChar"/>
    <w:link w:val="CommentSubject"/>
    <w:uiPriority w:val="99"/>
    <w:semiHidden/>
    <w:rsid w:val="003471C6"/>
    <w:rPr>
      <w:rFonts w:ascii="Times New Roman" w:hAnsi="Times New Roman"/>
      <w:b/>
      <w:bCs/>
      <w:sz w:val="20"/>
      <w:szCs w:val="20"/>
    </w:rPr>
  </w:style>
  <w:style w:type="paragraph" w:styleId="BalloonText">
    <w:name w:val="Balloon Text"/>
    <w:basedOn w:val="Normal"/>
    <w:link w:val="BalloonTextChar"/>
    <w:uiPriority w:val="99"/>
    <w:semiHidden/>
    <w:unhideWhenUsed/>
    <w:rsid w:val="00347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1C6"/>
    <w:rPr>
      <w:rFonts w:ascii="Segoe UI" w:hAnsi="Segoe UI" w:cs="Segoe UI"/>
      <w:sz w:val="18"/>
      <w:szCs w:val="18"/>
    </w:rPr>
  </w:style>
  <w:style w:type="character" w:customStyle="1" w:styleId="Heading1Char">
    <w:name w:val="Heading 1 Char"/>
    <w:aliases w:val="Section Char"/>
    <w:basedOn w:val="DefaultParagraphFont"/>
    <w:link w:val="Heading1"/>
    <w:uiPriority w:val="99"/>
    <w:rsid w:val="00C22955"/>
    <w:rPr>
      <w:rFonts w:ascii="Times New Roman" w:eastAsia="Times New Roman" w:hAnsi="Times New Roman" w:cs="Times New Roman"/>
      <w:b/>
      <w:sz w:val="28"/>
      <w:szCs w:val="20"/>
    </w:rPr>
  </w:style>
  <w:style w:type="character" w:customStyle="1" w:styleId="Heading2Char">
    <w:name w:val="Heading 2 Char"/>
    <w:aliases w:val="Heading 2 - Clause Char,Clause title Char"/>
    <w:basedOn w:val="DefaultParagraphFont"/>
    <w:link w:val="Heading2"/>
    <w:uiPriority w:val="99"/>
    <w:rsid w:val="00C22955"/>
    <w:rPr>
      <w:rFonts w:ascii="Times New Roman" w:eastAsia="Times New Roman" w:hAnsi="Times New Roman" w:cs="Arial"/>
      <w:b/>
      <w:bCs/>
      <w:iCs/>
      <w:sz w:val="24"/>
      <w:szCs w:val="28"/>
    </w:rPr>
  </w:style>
  <w:style w:type="character" w:customStyle="1" w:styleId="Heading3Char">
    <w:name w:val="Heading 3 Char"/>
    <w:aliases w:val="Heading 3 - Subclause Char"/>
    <w:basedOn w:val="DefaultParagraphFont"/>
    <w:link w:val="Heading3"/>
    <w:uiPriority w:val="99"/>
    <w:rsid w:val="00C22955"/>
    <w:rPr>
      <w:rFonts w:ascii="Times New Roman" w:eastAsia="Times New Roman" w:hAnsi="Times New Roman" w:cs="Arial"/>
      <w:iCs/>
      <w:sz w:val="24"/>
      <w:szCs w:val="26"/>
    </w:rPr>
  </w:style>
  <w:style w:type="character" w:customStyle="1" w:styleId="Heading4Char">
    <w:name w:val="Heading 4 Char"/>
    <w:basedOn w:val="DefaultParagraphFont"/>
    <w:link w:val="Heading4"/>
    <w:uiPriority w:val="99"/>
    <w:rsid w:val="00C22955"/>
    <w:rPr>
      <w:rFonts w:ascii="Times New Roman" w:eastAsia="Times New Roman" w:hAnsi="Times New Roman" w:cs="Arial"/>
      <w:bCs/>
      <w:iCs/>
      <w:sz w:val="24"/>
      <w:szCs w:val="26"/>
    </w:rPr>
  </w:style>
  <w:style w:type="character" w:customStyle="1" w:styleId="Heading5Char">
    <w:name w:val="Heading 5 Char"/>
    <w:basedOn w:val="DefaultParagraphFont"/>
    <w:link w:val="Heading5"/>
    <w:uiPriority w:val="99"/>
    <w:rsid w:val="00C22955"/>
    <w:rPr>
      <w:rFonts w:ascii="Times New Roman" w:eastAsia="Times New Roman" w:hAnsi="Times New Roman" w:cs="Arial"/>
      <w:sz w:val="24"/>
      <w:szCs w:val="26"/>
    </w:rPr>
  </w:style>
  <w:style w:type="character" w:customStyle="1" w:styleId="Heading6Char">
    <w:name w:val="Heading 6 Char"/>
    <w:basedOn w:val="DefaultParagraphFont"/>
    <w:link w:val="Heading6"/>
    <w:uiPriority w:val="99"/>
    <w:rsid w:val="00C22955"/>
    <w:rPr>
      <w:rFonts w:ascii="Times New Roman" w:eastAsia="Times New Roman" w:hAnsi="Times New Roman"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gress.gov/115/bills/hr5515/BILLS-115hr5515en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6809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nex</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Fix, Melanie</dc:creator>
  <cp:keywords/>
  <dc:description/>
  <cp:lastModifiedBy>Cook, Grace</cp:lastModifiedBy>
  <cp:revision>2</cp:revision>
  <dcterms:created xsi:type="dcterms:W3CDTF">2022-09-21T19:40:00Z</dcterms:created>
  <dcterms:modified xsi:type="dcterms:W3CDTF">2022-09-21T19:40:00Z</dcterms:modified>
</cp:coreProperties>
</file>